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69CD" w14:textId="77777777" w:rsidR="0016220E" w:rsidRPr="0016220E" w:rsidRDefault="0016220E" w:rsidP="0016220E">
      <w:pPr>
        <w:widowControl/>
        <w:shd w:val="clear" w:color="auto" w:fill="FFFFFF"/>
        <w:spacing w:before="240"/>
        <w:jc w:val="center"/>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b/>
          <w:bCs/>
          <w:color w:val="000000"/>
          <w:kern w:val="0"/>
          <w:sz w:val="20"/>
          <w:szCs w:val="20"/>
        </w:rPr>
        <w:t>ICZOOM GROUP INC.</w:t>
      </w:r>
    </w:p>
    <w:p w14:paraId="2348BEE2" w14:textId="77777777" w:rsidR="0016220E" w:rsidRPr="0016220E" w:rsidRDefault="0016220E" w:rsidP="0016220E">
      <w:pPr>
        <w:widowControl/>
        <w:shd w:val="clear" w:color="auto" w:fill="FFFFFF"/>
        <w:jc w:val="center"/>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b/>
          <w:bCs/>
          <w:color w:val="000000"/>
          <w:kern w:val="0"/>
          <w:sz w:val="20"/>
          <w:szCs w:val="20"/>
        </w:rPr>
        <w:t>CODE OF BUSINESS CONDUCT AND ETHICS</w:t>
      </w:r>
    </w:p>
    <w:p w14:paraId="38CF9CAC" w14:textId="77777777" w:rsidR="0016220E" w:rsidRPr="0016220E" w:rsidRDefault="0016220E" w:rsidP="0016220E">
      <w:pPr>
        <w:widowControl/>
        <w:shd w:val="clear" w:color="auto" w:fill="FFFFFF"/>
        <w:spacing w:before="24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I. PURPOSE</w:t>
      </w:r>
    </w:p>
    <w:p w14:paraId="0FBA51A6"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This Code of Business Conduct and Ethics (the “</w:t>
      </w:r>
      <w:r w:rsidRPr="0016220E">
        <w:rPr>
          <w:rFonts w:ascii="Times New Roman" w:eastAsia="微软雅黑" w:hAnsi="Times New Roman" w:cs="Times New Roman"/>
          <w:b/>
          <w:bCs/>
          <w:color w:val="000000"/>
          <w:kern w:val="0"/>
          <w:sz w:val="20"/>
          <w:szCs w:val="20"/>
        </w:rPr>
        <w:t>Code</w:t>
      </w:r>
      <w:r w:rsidRPr="0016220E">
        <w:rPr>
          <w:rFonts w:ascii="Times New Roman" w:eastAsia="微软雅黑" w:hAnsi="Times New Roman" w:cs="Times New Roman"/>
          <w:color w:val="000000"/>
          <w:kern w:val="0"/>
          <w:sz w:val="20"/>
          <w:szCs w:val="20"/>
        </w:rPr>
        <w:t>”) contains general guidelines for conducting the business of ICZOOM Group Inc.., a Cayman Islands exempted company with limited liability, and its subsidiaries and affiliates (collectively, the “</w:t>
      </w:r>
      <w:r w:rsidRPr="0016220E">
        <w:rPr>
          <w:rFonts w:ascii="Times New Roman" w:eastAsia="微软雅黑" w:hAnsi="Times New Roman" w:cs="Times New Roman"/>
          <w:b/>
          <w:bCs/>
          <w:color w:val="000000"/>
          <w:kern w:val="0"/>
          <w:sz w:val="20"/>
          <w:szCs w:val="20"/>
        </w:rPr>
        <w:t>Company</w:t>
      </w:r>
      <w:r w:rsidRPr="0016220E">
        <w:rPr>
          <w:rFonts w:ascii="Times New Roman" w:eastAsia="微软雅黑" w:hAnsi="Times New Roman" w:cs="Times New Roman"/>
          <w:color w:val="000000"/>
          <w:kern w:val="0"/>
          <w:sz w:val="20"/>
          <w:szCs w:val="20"/>
        </w:rPr>
        <w:t>”) consistent with the highest standards of business ethics, and is intended to qualify as a “code of ethics” within the meaning of Section 406(c) of the Sarbanes-Oxley Act of 2002 and the rules promulgated thereunder. To the extent this Code requires a higher standard than required by commercial practice or applicable laws, rules or regulations, we adhere to these higher standards.</w:t>
      </w:r>
    </w:p>
    <w:p w14:paraId="79DAF4A4"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This Code is designed to deter wrongdoing and to promote:</w:t>
      </w:r>
    </w:p>
    <w:p w14:paraId="5FE81F47"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679F02C1" w14:textId="77777777" w:rsidTr="0016220E">
        <w:tc>
          <w:tcPr>
            <w:tcW w:w="450" w:type="pct"/>
            <w:vAlign w:val="center"/>
            <w:hideMark/>
          </w:tcPr>
          <w:p w14:paraId="6704CF9E"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3E9DBEA9"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44A82034"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00E8375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honest and ethical conduct, including the ethical handling of actual or apparent conflicts of interest between personal and professional relationships;</w:t>
            </w:r>
          </w:p>
        </w:tc>
      </w:tr>
    </w:tbl>
    <w:p w14:paraId="5A398845"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5324BDDB" w14:textId="77777777" w:rsidTr="0016220E">
        <w:tc>
          <w:tcPr>
            <w:tcW w:w="450" w:type="pct"/>
            <w:vAlign w:val="center"/>
            <w:hideMark/>
          </w:tcPr>
          <w:p w14:paraId="6C2DA26B"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2DBCDD88"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418B6B38"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1C9D21C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full, fair, accurate, timely, and understandable disclosure in reports and documents that the Company files with, or submits to, the U.S. Securities and Exchange Commission (the “</w:t>
            </w:r>
            <w:r w:rsidRPr="0016220E">
              <w:rPr>
                <w:rFonts w:ascii="Times New Roman" w:eastAsia="宋体" w:hAnsi="Times New Roman" w:cs="Times New Roman"/>
                <w:b/>
                <w:bCs/>
                <w:kern w:val="0"/>
                <w:sz w:val="20"/>
                <w:szCs w:val="20"/>
              </w:rPr>
              <w:t>SEC</w:t>
            </w:r>
            <w:r w:rsidRPr="0016220E">
              <w:rPr>
                <w:rFonts w:ascii="Times New Roman" w:eastAsia="宋体" w:hAnsi="Times New Roman" w:cs="Times New Roman"/>
                <w:kern w:val="0"/>
                <w:sz w:val="20"/>
                <w:szCs w:val="20"/>
              </w:rPr>
              <w:t>”) and in other public communications made by the Company;</w:t>
            </w:r>
          </w:p>
        </w:tc>
      </w:tr>
    </w:tbl>
    <w:p w14:paraId="4394651B"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30142771" w14:textId="77777777" w:rsidTr="0016220E">
        <w:tc>
          <w:tcPr>
            <w:tcW w:w="450" w:type="pct"/>
            <w:vAlign w:val="center"/>
            <w:hideMark/>
          </w:tcPr>
          <w:p w14:paraId="2EF7A1E3"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6D0A5C9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418E6ECF"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103DDB56"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compliance with applicable laws, rules and regulations;</w:t>
            </w:r>
          </w:p>
        </w:tc>
      </w:tr>
    </w:tbl>
    <w:p w14:paraId="1039F28B"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03E57AC5" w14:textId="77777777" w:rsidTr="0016220E">
        <w:tc>
          <w:tcPr>
            <w:tcW w:w="450" w:type="pct"/>
            <w:vAlign w:val="center"/>
            <w:hideMark/>
          </w:tcPr>
          <w:p w14:paraId="1A1A85D5"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068CECDD"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67677B67"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07F6033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prompt internal reporting of violations of the Code; and</w:t>
            </w:r>
          </w:p>
        </w:tc>
      </w:tr>
    </w:tbl>
    <w:p w14:paraId="15A396BC"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6AAA8797" w14:textId="77777777" w:rsidTr="0016220E">
        <w:tc>
          <w:tcPr>
            <w:tcW w:w="450" w:type="pct"/>
            <w:vAlign w:val="center"/>
            <w:hideMark/>
          </w:tcPr>
          <w:p w14:paraId="3FDA627E"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38015E74"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27916A7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10AD7D3F"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accountability for adherence to the Code.</w:t>
            </w:r>
          </w:p>
        </w:tc>
      </w:tr>
    </w:tbl>
    <w:p w14:paraId="2B20A46B"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II. APPLICABILITY</w:t>
      </w:r>
    </w:p>
    <w:p w14:paraId="1E505A51"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This Code applies to all directors, officers and employees of the Company, whether they work for the Company on a full-time, part-time, consultative or temporary basis (each, an “</w:t>
      </w:r>
      <w:r w:rsidRPr="0016220E">
        <w:rPr>
          <w:rFonts w:ascii="Times New Roman" w:eastAsia="微软雅黑" w:hAnsi="Times New Roman" w:cs="Times New Roman"/>
          <w:b/>
          <w:bCs/>
          <w:color w:val="000000"/>
          <w:kern w:val="0"/>
          <w:sz w:val="20"/>
          <w:szCs w:val="20"/>
        </w:rPr>
        <w:t>employee</w:t>
      </w:r>
      <w:r w:rsidRPr="0016220E">
        <w:rPr>
          <w:rFonts w:ascii="Times New Roman" w:eastAsia="微软雅黑" w:hAnsi="Times New Roman" w:cs="Times New Roman"/>
          <w:color w:val="000000"/>
          <w:kern w:val="0"/>
          <w:sz w:val="20"/>
          <w:szCs w:val="20"/>
        </w:rPr>
        <w:t>” and collectively, the “</w:t>
      </w:r>
      <w:r w:rsidRPr="0016220E">
        <w:rPr>
          <w:rFonts w:ascii="Times New Roman" w:eastAsia="微软雅黑" w:hAnsi="Times New Roman" w:cs="Times New Roman"/>
          <w:b/>
          <w:bCs/>
          <w:color w:val="000000"/>
          <w:kern w:val="0"/>
          <w:sz w:val="20"/>
          <w:szCs w:val="20"/>
        </w:rPr>
        <w:t>employees</w:t>
      </w:r>
      <w:r w:rsidRPr="0016220E">
        <w:rPr>
          <w:rFonts w:ascii="Times New Roman" w:eastAsia="微软雅黑" w:hAnsi="Times New Roman" w:cs="Times New Roman"/>
          <w:color w:val="000000"/>
          <w:kern w:val="0"/>
          <w:sz w:val="20"/>
          <w:szCs w:val="20"/>
        </w:rPr>
        <w:t>”). Certain provisions of the Code apply specifically to our chief executive officer, chief financial officer, senior finance officer and any other persons who perform similar functions for the Company (each, a “</w:t>
      </w:r>
      <w:r w:rsidRPr="0016220E">
        <w:rPr>
          <w:rFonts w:ascii="Times New Roman" w:eastAsia="微软雅黑" w:hAnsi="Times New Roman" w:cs="Times New Roman"/>
          <w:b/>
          <w:bCs/>
          <w:color w:val="000000"/>
          <w:kern w:val="0"/>
          <w:sz w:val="20"/>
          <w:szCs w:val="20"/>
        </w:rPr>
        <w:t>senior officer</w:t>
      </w:r>
      <w:r w:rsidRPr="0016220E">
        <w:rPr>
          <w:rFonts w:ascii="Times New Roman" w:eastAsia="微软雅黑" w:hAnsi="Times New Roman" w:cs="Times New Roman"/>
          <w:color w:val="000000"/>
          <w:kern w:val="0"/>
          <w:sz w:val="20"/>
          <w:szCs w:val="20"/>
        </w:rPr>
        <w:t>,” and collectively, the “</w:t>
      </w:r>
      <w:r w:rsidRPr="0016220E">
        <w:rPr>
          <w:rFonts w:ascii="Times New Roman" w:eastAsia="微软雅黑" w:hAnsi="Times New Roman" w:cs="Times New Roman"/>
          <w:b/>
          <w:bCs/>
          <w:color w:val="000000"/>
          <w:kern w:val="0"/>
          <w:sz w:val="20"/>
          <w:szCs w:val="20"/>
        </w:rPr>
        <w:t>senior officers</w:t>
      </w:r>
      <w:r w:rsidRPr="0016220E">
        <w:rPr>
          <w:rFonts w:ascii="Times New Roman" w:eastAsia="微软雅黑" w:hAnsi="Times New Roman" w:cs="Times New Roman"/>
          <w:color w:val="000000"/>
          <w:kern w:val="0"/>
          <w:sz w:val="20"/>
          <w:szCs w:val="20"/>
        </w:rPr>
        <w:t>”).</w:t>
      </w:r>
    </w:p>
    <w:p w14:paraId="0BA586CF"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The Board of Directors of the Company (the “</w:t>
      </w:r>
      <w:r w:rsidRPr="0016220E">
        <w:rPr>
          <w:rFonts w:ascii="Times New Roman" w:eastAsia="微软雅黑" w:hAnsi="Times New Roman" w:cs="Times New Roman"/>
          <w:b/>
          <w:bCs/>
          <w:color w:val="000000"/>
          <w:kern w:val="0"/>
          <w:sz w:val="20"/>
          <w:szCs w:val="20"/>
        </w:rPr>
        <w:t>Board</w:t>
      </w:r>
      <w:r w:rsidRPr="0016220E">
        <w:rPr>
          <w:rFonts w:ascii="Times New Roman" w:eastAsia="微软雅黑" w:hAnsi="Times New Roman" w:cs="Times New Roman"/>
          <w:color w:val="000000"/>
          <w:kern w:val="0"/>
          <w:sz w:val="20"/>
          <w:szCs w:val="20"/>
        </w:rPr>
        <w:t>”) has appointed the Company’s Chief Financial Officer as the Compliance Officer for the Company (the “</w:t>
      </w:r>
      <w:r w:rsidRPr="0016220E">
        <w:rPr>
          <w:rFonts w:ascii="Times New Roman" w:eastAsia="微软雅黑" w:hAnsi="Times New Roman" w:cs="Times New Roman"/>
          <w:b/>
          <w:bCs/>
          <w:color w:val="000000"/>
          <w:kern w:val="0"/>
          <w:sz w:val="20"/>
          <w:szCs w:val="20"/>
        </w:rPr>
        <w:t>Compliance Officer</w:t>
      </w:r>
      <w:r w:rsidRPr="0016220E">
        <w:rPr>
          <w:rFonts w:ascii="Times New Roman" w:eastAsia="微软雅黑" w:hAnsi="Times New Roman" w:cs="Times New Roman"/>
          <w:color w:val="000000"/>
          <w:kern w:val="0"/>
          <w:sz w:val="20"/>
          <w:szCs w:val="20"/>
        </w:rPr>
        <w:t>”). If you have any questions regarding the Code or would like to report any violation of the Code, please contact the Compliance Officer.</w:t>
      </w:r>
    </w:p>
    <w:p w14:paraId="68315B35"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This Code has been adopted by the Board and shall become effective (the “</w:t>
      </w:r>
      <w:r w:rsidRPr="0016220E">
        <w:rPr>
          <w:rFonts w:ascii="Times New Roman" w:eastAsia="微软雅黑" w:hAnsi="Times New Roman" w:cs="Times New Roman"/>
          <w:b/>
          <w:bCs/>
          <w:color w:val="000000"/>
          <w:kern w:val="0"/>
          <w:sz w:val="20"/>
          <w:szCs w:val="20"/>
        </w:rPr>
        <w:t>Effective Time</w:t>
      </w:r>
      <w:r w:rsidRPr="0016220E">
        <w:rPr>
          <w:rFonts w:ascii="Times New Roman" w:eastAsia="微软雅黑" w:hAnsi="Times New Roman" w:cs="Times New Roman"/>
          <w:color w:val="000000"/>
          <w:kern w:val="0"/>
          <w:sz w:val="20"/>
          <w:szCs w:val="20"/>
        </w:rPr>
        <w:t>”) upon the effectiveness of the Company’s registration statement on Form F-1 filed by the Company with the SEC relating to the Company’s initial public offering. Following the Effective Time, the Board and the Compliance Officer, as well as any duly appointed committee charged with enforcing this Code, shall be entitled to enforce this Code to the full extent permitted by law.</w:t>
      </w:r>
    </w:p>
    <w:p w14:paraId="4885004E"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lastRenderedPageBreak/>
        <w:t>III. CONFLICTS OF INTEREST</w:t>
      </w:r>
    </w:p>
    <w:p w14:paraId="31699A70" w14:textId="77777777" w:rsidR="0016220E" w:rsidRPr="0016220E" w:rsidRDefault="0016220E" w:rsidP="0016220E">
      <w:pPr>
        <w:widowControl/>
        <w:shd w:val="clear" w:color="auto" w:fill="FFFFFF"/>
        <w:spacing w:before="12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b/>
          <w:bCs/>
          <w:i/>
          <w:iCs/>
          <w:color w:val="000000"/>
          <w:kern w:val="0"/>
          <w:sz w:val="20"/>
          <w:szCs w:val="20"/>
        </w:rPr>
        <w:t>Identifying Conflicts of Interest</w:t>
      </w:r>
    </w:p>
    <w:p w14:paraId="3B5675F5"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A conflict of interest occurs when an employee’s private interest interferes, or appears to interfere, in any way with the interests of the Company as a whole. An employee should actively avoid any private interest that may impact such employee’s ability to act in the interests of the Company or that may make it difficult to perform the employee’s work objectively and effectively. In general, the following should be considered conflicts of interest:</w:t>
      </w:r>
    </w:p>
    <w:p w14:paraId="7EF8057A"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333"/>
        <w:gridCol w:w="332"/>
        <w:gridCol w:w="83"/>
        <w:gridCol w:w="7558"/>
      </w:tblGrid>
      <w:tr w:rsidR="0016220E" w:rsidRPr="0016220E" w14:paraId="68524A9C" w14:textId="77777777" w:rsidTr="0016220E">
        <w:tc>
          <w:tcPr>
            <w:tcW w:w="200" w:type="pct"/>
            <w:vAlign w:val="center"/>
            <w:hideMark/>
          </w:tcPr>
          <w:p w14:paraId="0BF7127C"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200" w:type="pct"/>
            <w:hideMark/>
          </w:tcPr>
          <w:p w14:paraId="208CC796"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53D1833B"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27A4620D"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u w:val="single"/>
              </w:rPr>
              <w:t>Competing Business</w:t>
            </w:r>
            <w:r w:rsidRPr="0016220E">
              <w:rPr>
                <w:rFonts w:ascii="Times New Roman" w:eastAsia="宋体" w:hAnsi="Times New Roman" w:cs="Times New Roman"/>
                <w:kern w:val="0"/>
                <w:sz w:val="20"/>
                <w:szCs w:val="20"/>
              </w:rPr>
              <w:t>. No employee may be employed by a business that competes with the Company or deprives it of any business.</w:t>
            </w:r>
          </w:p>
        </w:tc>
      </w:tr>
    </w:tbl>
    <w:p w14:paraId="3A68E0C8" w14:textId="082B60E1" w:rsidR="0016220E" w:rsidRPr="0016220E" w:rsidRDefault="0016220E" w:rsidP="0016220E">
      <w:pPr>
        <w:widowControl/>
        <w:shd w:val="clear" w:color="auto" w:fill="FFFFFF"/>
        <w:jc w:val="left"/>
        <w:rPr>
          <w:rFonts w:ascii="微软雅黑" w:eastAsia="微软雅黑" w:hAnsi="微软雅黑" w:cs="宋体" w:hint="eastAsia"/>
          <w:color w:val="000000"/>
          <w:kern w:val="0"/>
          <w:sz w:val="16"/>
          <w:szCs w:val="16"/>
        </w:rPr>
      </w:pPr>
      <w:r w:rsidRPr="0016220E">
        <w:rPr>
          <w:rFonts w:ascii="微软雅黑" w:eastAsia="微软雅黑" w:hAnsi="微软雅黑" w:cs="宋体" w:hint="eastAsia"/>
          <w:color w:val="000000"/>
          <w:kern w:val="0"/>
          <w:sz w:val="16"/>
          <w:szCs w:val="16"/>
        </w:rPr>
        <w:t> </w:t>
      </w:r>
    </w:p>
    <w:tbl>
      <w:tblPr>
        <w:tblW w:w="5000" w:type="pct"/>
        <w:tblCellMar>
          <w:left w:w="0" w:type="dxa"/>
          <w:right w:w="0" w:type="dxa"/>
        </w:tblCellMar>
        <w:tblLook w:val="04A0" w:firstRow="1" w:lastRow="0" w:firstColumn="1" w:lastColumn="0" w:noHBand="0" w:noVBand="1"/>
      </w:tblPr>
      <w:tblGrid>
        <w:gridCol w:w="333"/>
        <w:gridCol w:w="332"/>
        <w:gridCol w:w="83"/>
        <w:gridCol w:w="7558"/>
      </w:tblGrid>
      <w:tr w:rsidR="0016220E" w:rsidRPr="0016220E" w14:paraId="291BF267" w14:textId="77777777" w:rsidTr="0016220E">
        <w:tc>
          <w:tcPr>
            <w:tcW w:w="200" w:type="pct"/>
            <w:vAlign w:val="center"/>
            <w:hideMark/>
          </w:tcPr>
          <w:p w14:paraId="64842D9F"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200" w:type="pct"/>
            <w:hideMark/>
          </w:tcPr>
          <w:p w14:paraId="3DD72C37"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02C812B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508212E6"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u w:val="single"/>
              </w:rPr>
              <w:t>Corporate Opportunity</w:t>
            </w:r>
            <w:r w:rsidRPr="0016220E">
              <w:rPr>
                <w:rFonts w:ascii="Times New Roman" w:eastAsia="宋体" w:hAnsi="Times New Roman" w:cs="Times New Roman"/>
                <w:kern w:val="0"/>
                <w:sz w:val="20"/>
                <w:szCs w:val="20"/>
              </w:rPr>
              <w:t>. No employee should use corporate property, information or his/her position with the Company to secure a business opportunity that would otherwise be available to the Company. If an employee discovers a business opportunity that is in the Company’s line of business through the use of the Company’s property, information or position, the employee must first present the business opportunity to the Company and obtain approval from the Company’s Audit Committee before pursuing the opportunity in his/her individual capacity.</w:t>
            </w:r>
          </w:p>
        </w:tc>
      </w:tr>
    </w:tbl>
    <w:p w14:paraId="302F12AA" w14:textId="70C1F7A1" w:rsidR="0016220E" w:rsidRPr="0016220E" w:rsidRDefault="0016220E" w:rsidP="0016220E">
      <w:pPr>
        <w:widowControl/>
        <w:shd w:val="clear" w:color="auto" w:fill="FFFFFF"/>
        <w:jc w:val="left"/>
        <w:rPr>
          <w:rFonts w:ascii="微软雅黑" w:eastAsia="微软雅黑" w:hAnsi="微软雅黑" w:cs="宋体"/>
          <w:color w:val="000000"/>
          <w:kern w:val="0"/>
          <w:sz w:val="22"/>
        </w:rPr>
      </w:pPr>
    </w:p>
    <w:tbl>
      <w:tblPr>
        <w:tblW w:w="5000" w:type="pct"/>
        <w:tblCellMar>
          <w:left w:w="0" w:type="dxa"/>
          <w:right w:w="0" w:type="dxa"/>
        </w:tblCellMar>
        <w:tblLook w:val="04A0" w:firstRow="1" w:lastRow="0" w:firstColumn="1" w:lastColumn="0" w:noHBand="0" w:noVBand="1"/>
      </w:tblPr>
      <w:tblGrid>
        <w:gridCol w:w="333"/>
        <w:gridCol w:w="332"/>
        <w:gridCol w:w="83"/>
        <w:gridCol w:w="7558"/>
      </w:tblGrid>
      <w:tr w:rsidR="0016220E" w:rsidRPr="0016220E" w14:paraId="35CB30CE" w14:textId="77777777" w:rsidTr="0016220E">
        <w:tc>
          <w:tcPr>
            <w:tcW w:w="200" w:type="pct"/>
            <w:vAlign w:val="center"/>
            <w:hideMark/>
          </w:tcPr>
          <w:p w14:paraId="18EBD4E8"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200" w:type="pct"/>
            <w:hideMark/>
          </w:tcPr>
          <w:p w14:paraId="2A53974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63DE83AF"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6A6EC011"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u w:val="single"/>
              </w:rPr>
              <w:t>Financial Interests</w:t>
            </w:r>
          </w:p>
        </w:tc>
      </w:tr>
    </w:tbl>
    <w:p w14:paraId="4F1C2680"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332"/>
        <w:gridCol w:w="7226"/>
      </w:tblGrid>
      <w:tr w:rsidR="0016220E" w:rsidRPr="0016220E" w14:paraId="6E96B94F" w14:textId="77777777" w:rsidTr="0016220E">
        <w:tc>
          <w:tcPr>
            <w:tcW w:w="450" w:type="pct"/>
            <w:vAlign w:val="center"/>
            <w:hideMark/>
          </w:tcPr>
          <w:p w14:paraId="05FDEA46"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200" w:type="pct"/>
            <w:hideMark/>
          </w:tcPr>
          <w:p w14:paraId="791136E0" w14:textId="77777777" w:rsidR="0016220E" w:rsidRPr="0016220E" w:rsidRDefault="0016220E" w:rsidP="0016220E">
            <w:pPr>
              <w:widowControl/>
              <w:jc w:val="left"/>
              <w:rPr>
                <w:rFonts w:ascii="Times New Roman" w:eastAsia="宋体" w:hAnsi="Times New Roman" w:cs="Times New Roman"/>
                <w:kern w:val="0"/>
                <w:sz w:val="20"/>
                <w:szCs w:val="20"/>
              </w:rPr>
            </w:pPr>
            <w:proofErr w:type="spellStart"/>
            <w:r w:rsidRPr="0016220E">
              <w:rPr>
                <w:rFonts w:ascii="Times New Roman" w:eastAsia="宋体" w:hAnsi="Times New Roman" w:cs="Times New Roman"/>
                <w:kern w:val="0"/>
                <w:sz w:val="20"/>
                <w:szCs w:val="20"/>
              </w:rPr>
              <w:t>i</w:t>
            </w:r>
            <w:proofErr w:type="spellEnd"/>
            <w:r w:rsidRPr="0016220E">
              <w:rPr>
                <w:rFonts w:ascii="Times New Roman" w:eastAsia="宋体" w:hAnsi="Times New Roman" w:cs="Times New Roman"/>
                <w:kern w:val="0"/>
                <w:sz w:val="20"/>
                <w:szCs w:val="20"/>
              </w:rPr>
              <w:t>.</w:t>
            </w:r>
          </w:p>
        </w:tc>
        <w:tc>
          <w:tcPr>
            <w:tcW w:w="0" w:type="auto"/>
            <w:hideMark/>
          </w:tcPr>
          <w:p w14:paraId="2473191A"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No employee may have any financial interest (ownership or otherwise), either directly or indirectly through a spouse or other family member, in any other business or entity if such interest adversely affects the employee’s performance of duties or responsibilities to the Company, or requires the employee to devote time to it during such employee’s working hours at the Company; provided, however that an Officer or Director may devote time to such other interest during working hours so long as it does not interfere with his/her ability to carry out his/her duties at the Company;</w:t>
            </w:r>
          </w:p>
        </w:tc>
      </w:tr>
    </w:tbl>
    <w:p w14:paraId="274FF4C0"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332"/>
        <w:gridCol w:w="7226"/>
      </w:tblGrid>
      <w:tr w:rsidR="0016220E" w:rsidRPr="0016220E" w14:paraId="0C4CA2AD" w14:textId="77777777" w:rsidTr="0016220E">
        <w:tc>
          <w:tcPr>
            <w:tcW w:w="450" w:type="pct"/>
            <w:vAlign w:val="center"/>
            <w:hideMark/>
          </w:tcPr>
          <w:p w14:paraId="416D36B4"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200" w:type="pct"/>
            <w:hideMark/>
          </w:tcPr>
          <w:p w14:paraId="15D85FC6"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ii.</w:t>
            </w:r>
          </w:p>
        </w:tc>
        <w:tc>
          <w:tcPr>
            <w:tcW w:w="0" w:type="auto"/>
            <w:hideMark/>
          </w:tcPr>
          <w:p w14:paraId="28DEF43D"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No employee may hold any ownership interest in a privately held company that is in competition with the Company;</w:t>
            </w:r>
          </w:p>
        </w:tc>
      </w:tr>
    </w:tbl>
    <w:p w14:paraId="73098A81"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332"/>
        <w:gridCol w:w="7226"/>
      </w:tblGrid>
      <w:tr w:rsidR="0016220E" w:rsidRPr="0016220E" w14:paraId="0B6B1CF3" w14:textId="77777777" w:rsidTr="0016220E">
        <w:tc>
          <w:tcPr>
            <w:tcW w:w="450" w:type="pct"/>
            <w:vAlign w:val="center"/>
            <w:hideMark/>
          </w:tcPr>
          <w:p w14:paraId="501377E4"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200" w:type="pct"/>
            <w:hideMark/>
          </w:tcPr>
          <w:p w14:paraId="15EB3794"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iii.</w:t>
            </w:r>
          </w:p>
        </w:tc>
        <w:tc>
          <w:tcPr>
            <w:tcW w:w="0" w:type="auto"/>
            <w:hideMark/>
          </w:tcPr>
          <w:p w14:paraId="7BBFE2C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An employee may hold up to 5% ownership interest in a publicly traded company that is in competition with the Company; provided that if the employee’s ownership interest in such publicly traded company increases to more than 5%, the employee must immediately report such ownership to the Compliance Officer;</w:t>
            </w:r>
          </w:p>
        </w:tc>
      </w:tr>
    </w:tbl>
    <w:p w14:paraId="27423C1E"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332"/>
        <w:gridCol w:w="7226"/>
      </w:tblGrid>
      <w:tr w:rsidR="0016220E" w:rsidRPr="0016220E" w14:paraId="53660F42" w14:textId="77777777" w:rsidTr="0016220E">
        <w:tc>
          <w:tcPr>
            <w:tcW w:w="450" w:type="pct"/>
            <w:vAlign w:val="center"/>
            <w:hideMark/>
          </w:tcPr>
          <w:p w14:paraId="33091A53"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200" w:type="pct"/>
            <w:hideMark/>
          </w:tcPr>
          <w:p w14:paraId="7F43AA4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iv.</w:t>
            </w:r>
          </w:p>
        </w:tc>
        <w:tc>
          <w:tcPr>
            <w:tcW w:w="0" w:type="auto"/>
            <w:hideMark/>
          </w:tcPr>
          <w:p w14:paraId="61E96F77"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No employee may hold any ownership interest in a company that has a business relationship with the Company if such employee’s duties at the Company include managing or supervising the Company’s business relations with that company; and</w:t>
            </w:r>
          </w:p>
        </w:tc>
      </w:tr>
    </w:tbl>
    <w:p w14:paraId="0D642774"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332"/>
        <w:gridCol w:w="7226"/>
      </w:tblGrid>
      <w:tr w:rsidR="0016220E" w:rsidRPr="0016220E" w14:paraId="3CDB1747" w14:textId="77777777" w:rsidTr="0016220E">
        <w:tc>
          <w:tcPr>
            <w:tcW w:w="450" w:type="pct"/>
            <w:vAlign w:val="center"/>
            <w:hideMark/>
          </w:tcPr>
          <w:p w14:paraId="564A43C3"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200" w:type="pct"/>
            <w:hideMark/>
          </w:tcPr>
          <w:p w14:paraId="7A1679A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v.</w:t>
            </w:r>
          </w:p>
        </w:tc>
        <w:tc>
          <w:tcPr>
            <w:tcW w:w="0" w:type="auto"/>
            <w:hideMark/>
          </w:tcPr>
          <w:p w14:paraId="4B454E56"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Notwithstanding the other provisions of this Code,</w:t>
            </w:r>
          </w:p>
        </w:tc>
      </w:tr>
    </w:tbl>
    <w:p w14:paraId="3C18D70F"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1080"/>
        <w:gridCol w:w="415"/>
        <w:gridCol w:w="6811"/>
      </w:tblGrid>
      <w:tr w:rsidR="0016220E" w:rsidRPr="0016220E" w14:paraId="39D4AE35" w14:textId="77777777" w:rsidTr="0016220E">
        <w:tc>
          <w:tcPr>
            <w:tcW w:w="650" w:type="pct"/>
            <w:vAlign w:val="center"/>
            <w:hideMark/>
          </w:tcPr>
          <w:p w14:paraId="1FFF333E"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lastRenderedPageBreak/>
              <w:t> </w:t>
            </w:r>
          </w:p>
        </w:tc>
        <w:tc>
          <w:tcPr>
            <w:tcW w:w="250" w:type="pct"/>
            <w:hideMark/>
          </w:tcPr>
          <w:p w14:paraId="1C5D8E5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(a)</w:t>
            </w:r>
          </w:p>
        </w:tc>
        <w:tc>
          <w:tcPr>
            <w:tcW w:w="0" w:type="auto"/>
            <w:hideMark/>
          </w:tcPr>
          <w:p w14:paraId="4C2B7281"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a director or any immediate family member of such director (collectively, “</w:t>
            </w:r>
            <w:r w:rsidRPr="0016220E">
              <w:rPr>
                <w:rFonts w:ascii="Times New Roman" w:eastAsia="宋体" w:hAnsi="Times New Roman" w:cs="Times New Roman"/>
                <w:b/>
                <w:bCs/>
                <w:kern w:val="0"/>
                <w:sz w:val="20"/>
                <w:szCs w:val="20"/>
              </w:rPr>
              <w:t>Director Affiliates</w:t>
            </w:r>
            <w:r w:rsidRPr="0016220E">
              <w:rPr>
                <w:rFonts w:ascii="Times New Roman" w:eastAsia="宋体" w:hAnsi="Times New Roman" w:cs="Times New Roman"/>
                <w:kern w:val="0"/>
                <w:sz w:val="20"/>
                <w:szCs w:val="20"/>
              </w:rPr>
              <w:t>”) or a senior officer or any immediate family member of such senior officer (collectively, “</w:t>
            </w:r>
            <w:r w:rsidRPr="0016220E">
              <w:rPr>
                <w:rFonts w:ascii="Times New Roman" w:eastAsia="宋体" w:hAnsi="Times New Roman" w:cs="Times New Roman"/>
                <w:b/>
                <w:bCs/>
                <w:kern w:val="0"/>
                <w:sz w:val="20"/>
                <w:szCs w:val="20"/>
              </w:rPr>
              <w:t>Officer Affiliates</w:t>
            </w:r>
            <w:r w:rsidRPr="0016220E">
              <w:rPr>
                <w:rFonts w:ascii="Times New Roman" w:eastAsia="宋体" w:hAnsi="Times New Roman" w:cs="Times New Roman"/>
                <w:kern w:val="0"/>
                <w:sz w:val="20"/>
                <w:szCs w:val="20"/>
              </w:rPr>
              <w:t>”) may continue to hold his/her investment or other financial interest in a business or entity (an “</w:t>
            </w:r>
            <w:r w:rsidRPr="0016220E">
              <w:rPr>
                <w:rFonts w:ascii="Times New Roman" w:eastAsia="宋体" w:hAnsi="Times New Roman" w:cs="Times New Roman"/>
                <w:b/>
                <w:bCs/>
                <w:kern w:val="0"/>
                <w:sz w:val="20"/>
                <w:szCs w:val="20"/>
              </w:rPr>
              <w:t>Interested Business</w:t>
            </w:r>
            <w:r w:rsidRPr="0016220E">
              <w:rPr>
                <w:rFonts w:ascii="Times New Roman" w:eastAsia="宋体" w:hAnsi="Times New Roman" w:cs="Times New Roman"/>
                <w:kern w:val="0"/>
                <w:sz w:val="20"/>
                <w:szCs w:val="20"/>
              </w:rPr>
              <w:t>”) that:</w:t>
            </w:r>
          </w:p>
        </w:tc>
      </w:tr>
    </w:tbl>
    <w:p w14:paraId="2F2BFDF3"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1495"/>
        <w:gridCol w:w="332"/>
        <w:gridCol w:w="6479"/>
      </w:tblGrid>
      <w:tr w:rsidR="0016220E" w:rsidRPr="0016220E" w14:paraId="304E85CC" w14:textId="77777777" w:rsidTr="0016220E">
        <w:tc>
          <w:tcPr>
            <w:tcW w:w="900" w:type="pct"/>
            <w:vAlign w:val="center"/>
            <w:hideMark/>
          </w:tcPr>
          <w:p w14:paraId="45BA0CD2"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200" w:type="pct"/>
            <w:hideMark/>
          </w:tcPr>
          <w:p w14:paraId="0D8AC150"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(1)</w:t>
            </w:r>
          </w:p>
        </w:tc>
        <w:tc>
          <w:tcPr>
            <w:tcW w:w="0" w:type="auto"/>
            <w:hideMark/>
          </w:tcPr>
          <w:p w14:paraId="1F26D88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was made or obtained either (x) before the Company invested in or otherwise became interested in such business or entity; or (y) before the director or senior officer joined the Company (for the avoidance of doubt, regardless of whether the Company had or had not already invested in or otherwise become interested in such business or entity at the time the director or senior officer joined the Company); or</w:t>
            </w:r>
          </w:p>
        </w:tc>
      </w:tr>
    </w:tbl>
    <w:p w14:paraId="4F6F9E27"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1495"/>
        <w:gridCol w:w="332"/>
        <w:gridCol w:w="6479"/>
      </w:tblGrid>
      <w:tr w:rsidR="0016220E" w:rsidRPr="0016220E" w14:paraId="2B39916E" w14:textId="77777777" w:rsidTr="0016220E">
        <w:tc>
          <w:tcPr>
            <w:tcW w:w="900" w:type="pct"/>
            <w:vAlign w:val="center"/>
            <w:hideMark/>
          </w:tcPr>
          <w:p w14:paraId="08131D1B"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200" w:type="pct"/>
            <w:hideMark/>
          </w:tcPr>
          <w:p w14:paraId="60504D9A"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(2)</w:t>
            </w:r>
          </w:p>
        </w:tc>
        <w:tc>
          <w:tcPr>
            <w:tcW w:w="0" w:type="auto"/>
            <w:hideMark/>
          </w:tcPr>
          <w:p w14:paraId="03BE010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may in the future be made or obtained by the director or senior officer, provided that at the time such investment or other financial interest is made or obtained, the Company has not yet invested in or otherwise become interested in such business or entity;</w:t>
            </w:r>
          </w:p>
        </w:tc>
      </w:tr>
    </w:tbl>
    <w:p w14:paraId="5A8CEB6C" w14:textId="77777777" w:rsidR="0016220E" w:rsidRPr="0016220E" w:rsidRDefault="0016220E" w:rsidP="0016220E">
      <w:pPr>
        <w:widowControl/>
        <w:shd w:val="clear" w:color="auto" w:fill="FFFFFF"/>
        <w:spacing w:before="120"/>
        <w:ind w:left="1591"/>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provided that such director or senior officer shall disclose such investment or other financial interest to the Board;</w:t>
      </w:r>
    </w:p>
    <w:p w14:paraId="6B306C7E"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1080"/>
        <w:gridCol w:w="415"/>
        <w:gridCol w:w="6811"/>
      </w:tblGrid>
      <w:tr w:rsidR="0016220E" w:rsidRPr="0016220E" w14:paraId="65F0F7DE" w14:textId="77777777" w:rsidTr="0016220E">
        <w:tc>
          <w:tcPr>
            <w:tcW w:w="650" w:type="pct"/>
            <w:vAlign w:val="center"/>
            <w:hideMark/>
          </w:tcPr>
          <w:p w14:paraId="3BBF0AF2"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250" w:type="pct"/>
            <w:hideMark/>
          </w:tcPr>
          <w:p w14:paraId="2B13B26B"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(b)</w:t>
            </w:r>
          </w:p>
        </w:tc>
        <w:tc>
          <w:tcPr>
            <w:tcW w:w="0" w:type="auto"/>
            <w:hideMark/>
          </w:tcPr>
          <w:p w14:paraId="2DB077C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an interested director or senior officer shall refrain from participating in any discussion among senior officers of the Company relating to an Interested Business and shall not be involved in any proposed transaction between the Company and an Interested Business; and</w:t>
            </w:r>
          </w:p>
        </w:tc>
      </w:tr>
    </w:tbl>
    <w:p w14:paraId="6861FE46"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6"/>
          <w:szCs w:val="16"/>
        </w:rPr>
      </w:pPr>
      <w:r w:rsidRPr="0016220E">
        <w:rPr>
          <w:rFonts w:ascii="微软雅黑" w:eastAsia="微软雅黑" w:hAnsi="微软雅黑" w:cs="宋体" w:hint="eastAsia"/>
          <w:color w:val="000000"/>
          <w:kern w:val="0"/>
          <w:sz w:val="16"/>
          <w:szCs w:val="16"/>
        </w:rPr>
        <w:t> </w:t>
      </w:r>
    </w:p>
    <w:p w14:paraId="3E89B156" w14:textId="0330588E" w:rsidR="0016220E" w:rsidRPr="0016220E" w:rsidRDefault="0016220E" w:rsidP="0016220E">
      <w:pPr>
        <w:widowControl/>
        <w:jc w:val="left"/>
        <w:rPr>
          <w:rFonts w:ascii="宋体" w:eastAsia="宋体" w:hAnsi="宋体" w:cs="宋体"/>
          <w:kern w:val="0"/>
          <w:sz w:val="24"/>
          <w:szCs w:val="24"/>
        </w:rPr>
      </w:pPr>
    </w:p>
    <w:tbl>
      <w:tblPr>
        <w:tblW w:w="5000" w:type="pct"/>
        <w:tblCellMar>
          <w:left w:w="0" w:type="dxa"/>
          <w:right w:w="0" w:type="dxa"/>
        </w:tblCellMar>
        <w:tblLook w:val="04A0" w:firstRow="1" w:lastRow="0" w:firstColumn="1" w:lastColumn="0" w:noHBand="0" w:noVBand="1"/>
      </w:tblPr>
      <w:tblGrid>
        <w:gridCol w:w="1080"/>
        <w:gridCol w:w="415"/>
        <w:gridCol w:w="6811"/>
      </w:tblGrid>
      <w:tr w:rsidR="0016220E" w:rsidRPr="0016220E" w14:paraId="08D4614B" w14:textId="77777777" w:rsidTr="0016220E">
        <w:tc>
          <w:tcPr>
            <w:tcW w:w="650" w:type="pct"/>
            <w:vAlign w:val="center"/>
            <w:hideMark/>
          </w:tcPr>
          <w:p w14:paraId="4364F69A"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250" w:type="pct"/>
            <w:hideMark/>
          </w:tcPr>
          <w:p w14:paraId="13553AE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(c)</w:t>
            </w:r>
          </w:p>
        </w:tc>
        <w:tc>
          <w:tcPr>
            <w:tcW w:w="0" w:type="auto"/>
            <w:hideMark/>
          </w:tcPr>
          <w:p w14:paraId="47C26CCA"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before any Director Affiliate or Officer Affiliate (</w:t>
            </w:r>
            <w:proofErr w:type="spellStart"/>
            <w:r w:rsidRPr="0016220E">
              <w:rPr>
                <w:rFonts w:ascii="Times New Roman" w:eastAsia="宋体" w:hAnsi="Times New Roman" w:cs="Times New Roman"/>
                <w:kern w:val="0"/>
                <w:sz w:val="20"/>
                <w:szCs w:val="20"/>
              </w:rPr>
              <w:t>i</w:t>
            </w:r>
            <w:proofErr w:type="spellEnd"/>
            <w:r w:rsidRPr="0016220E">
              <w:rPr>
                <w:rFonts w:ascii="Times New Roman" w:eastAsia="宋体" w:hAnsi="Times New Roman" w:cs="Times New Roman"/>
                <w:kern w:val="0"/>
                <w:sz w:val="20"/>
                <w:szCs w:val="20"/>
              </w:rPr>
              <w:t>) invests, or otherwise acquires any equity or other financial interest, in a business or entity that is in competition with the Company; or (ii) enters into any transaction with the Company, the related director or senior officer shall obtain prior approval from the Audit Committee of the Board.</w:t>
            </w:r>
          </w:p>
        </w:tc>
      </w:tr>
    </w:tbl>
    <w:p w14:paraId="56A540E7" w14:textId="77777777" w:rsidR="0016220E" w:rsidRPr="0016220E" w:rsidRDefault="0016220E" w:rsidP="0016220E">
      <w:pPr>
        <w:widowControl/>
        <w:shd w:val="clear" w:color="auto" w:fill="FFFFFF"/>
        <w:spacing w:before="120"/>
        <w:ind w:left="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For purposes of this Code, a company or entity is deemed to be “in competition with the Company” if it competes with the Company’s business of providing software application and technology solutions and services to corporate and government customers engaged in global trade that may result in such said solutions or services, and/or any other business in which the Company is engaged.</w:t>
      </w:r>
    </w:p>
    <w:p w14:paraId="1CB7C2C6"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333"/>
        <w:gridCol w:w="332"/>
        <w:gridCol w:w="83"/>
        <w:gridCol w:w="7558"/>
      </w:tblGrid>
      <w:tr w:rsidR="0016220E" w:rsidRPr="0016220E" w14:paraId="18F7F6DB" w14:textId="77777777" w:rsidTr="0016220E">
        <w:tc>
          <w:tcPr>
            <w:tcW w:w="200" w:type="pct"/>
            <w:vAlign w:val="center"/>
            <w:hideMark/>
          </w:tcPr>
          <w:p w14:paraId="50B7EC23"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200" w:type="pct"/>
            <w:hideMark/>
          </w:tcPr>
          <w:p w14:paraId="3AEADC1F"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5F0B703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54DC0D5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u w:val="single"/>
              </w:rPr>
              <w:t>Loans or Other Financial Transactions</w:t>
            </w:r>
            <w:r w:rsidRPr="0016220E">
              <w:rPr>
                <w:rFonts w:ascii="Times New Roman" w:eastAsia="宋体" w:hAnsi="Times New Roman" w:cs="Times New Roman"/>
                <w:kern w:val="0"/>
                <w:sz w:val="20"/>
                <w:szCs w:val="20"/>
              </w:rPr>
              <w:t>. No employee may obtain loans or guarantees of personal obligations from, or enter into any other personal financial transaction with, any company that is a material customer, supplier or competitor of the Company. This guideline does not prohibit arms-length transactions with recognized banks or other financial institutions.</w:t>
            </w:r>
          </w:p>
        </w:tc>
      </w:tr>
    </w:tbl>
    <w:p w14:paraId="7BC5F0E5"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333"/>
        <w:gridCol w:w="332"/>
        <w:gridCol w:w="83"/>
        <w:gridCol w:w="7558"/>
      </w:tblGrid>
      <w:tr w:rsidR="0016220E" w:rsidRPr="0016220E" w14:paraId="22E0D420" w14:textId="77777777" w:rsidTr="0016220E">
        <w:tc>
          <w:tcPr>
            <w:tcW w:w="200" w:type="pct"/>
            <w:vAlign w:val="center"/>
            <w:hideMark/>
          </w:tcPr>
          <w:p w14:paraId="73B76A03"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lastRenderedPageBreak/>
              <w:t> </w:t>
            </w:r>
          </w:p>
        </w:tc>
        <w:tc>
          <w:tcPr>
            <w:tcW w:w="200" w:type="pct"/>
            <w:hideMark/>
          </w:tcPr>
          <w:p w14:paraId="5E6AF9C9"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48FD883C"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4160351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u w:val="single"/>
              </w:rPr>
              <w:t>Service on Boards and Committees</w:t>
            </w:r>
            <w:r w:rsidRPr="0016220E">
              <w:rPr>
                <w:rFonts w:ascii="Times New Roman" w:eastAsia="宋体" w:hAnsi="Times New Roman" w:cs="Times New Roman"/>
                <w:kern w:val="0"/>
                <w:sz w:val="20"/>
                <w:szCs w:val="20"/>
              </w:rPr>
              <w:t>. No employee shall serve on a board of directors or trustees or on a committee of any entity (whether profit or not-for-profit) whose interests could reasonably be expected to conflict with those of the Company. Employees must obtain prior approval from the Board or the Company’s Audit Committee, as required by the rules of NASDAQ, before accepting any such board or committee position. The Company may revisit its approval of any such position at any time to determine whether an employee’s service in such position is still appropriate.</w:t>
            </w:r>
          </w:p>
        </w:tc>
      </w:tr>
    </w:tbl>
    <w:p w14:paraId="26368846"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The above is in no way a complete list of situations where conflicts of interest may arise. The following questions might serve as a useful guide in assessing a potential conflict of interest situation not specifically addressed above:</w:t>
      </w:r>
    </w:p>
    <w:p w14:paraId="1516A532"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32C4C085" w14:textId="77777777" w:rsidTr="0016220E">
        <w:tc>
          <w:tcPr>
            <w:tcW w:w="450" w:type="pct"/>
            <w:vAlign w:val="center"/>
            <w:hideMark/>
          </w:tcPr>
          <w:p w14:paraId="20CC38BF"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55A9B919"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6B2ED96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7F56749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Is the action to be taken legal?</w:t>
            </w:r>
          </w:p>
        </w:tc>
      </w:tr>
    </w:tbl>
    <w:p w14:paraId="411A702E"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5245BFF9" w14:textId="77777777" w:rsidTr="0016220E">
        <w:tc>
          <w:tcPr>
            <w:tcW w:w="450" w:type="pct"/>
            <w:vAlign w:val="center"/>
            <w:hideMark/>
          </w:tcPr>
          <w:p w14:paraId="2E4E6197"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10029F45"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4FA4E37F"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03B85948"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Is it honest and fair?</w:t>
            </w:r>
          </w:p>
        </w:tc>
      </w:tr>
    </w:tbl>
    <w:p w14:paraId="58E2A2B9"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3EC91359" w14:textId="77777777" w:rsidTr="0016220E">
        <w:tc>
          <w:tcPr>
            <w:tcW w:w="450" w:type="pct"/>
            <w:vAlign w:val="center"/>
            <w:hideMark/>
          </w:tcPr>
          <w:p w14:paraId="0989894C"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7C64E646"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45E2F81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2F53D96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Is it in the best interests of the Company?</w:t>
            </w:r>
          </w:p>
        </w:tc>
      </w:tr>
    </w:tbl>
    <w:p w14:paraId="42F814A0"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b/>
          <w:bCs/>
          <w:i/>
          <w:iCs/>
          <w:color w:val="000000"/>
          <w:kern w:val="0"/>
          <w:sz w:val="20"/>
          <w:szCs w:val="20"/>
        </w:rPr>
        <w:t>Disclosure of Conflicts of Interest</w:t>
      </w:r>
    </w:p>
    <w:p w14:paraId="423C090E"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The Company requires that employees fully disclose any situations that could reasonably be expected to give rise to a conflict of interest. If an employee suspects that he/she has a conflict of interest, or a situation that others could reasonably perceive as a conflict of interest, the employee must report it immediately to the Compliance Officer. Conflicts of interest may only be waived by the Board, the appropriate committee of the Board and in some cases, as in accordance with NASDAQ rules, only by the Company’s Audit Committee, and will be promptly disclosed to the public to the extent required by law and applicable rules of NASDAQ.</w:t>
      </w:r>
    </w:p>
    <w:p w14:paraId="14342A24"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b/>
          <w:bCs/>
          <w:i/>
          <w:iCs/>
          <w:color w:val="000000"/>
          <w:kern w:val="0"/>
          <w:sz w:val="20"/>
          <w:szCs w:val="20"/>
        </w:rPr>
        <w:t>Family Members and Work</w:t>
      </w:r>
    </w:p>
    <w:p w14:paraId="30416891"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The actions of family members outside the workplace may also give rise to conflicts of interest because they may influence an employee’s objectivity in making decisions on behalf of the Company. If a member of an employee’s family is interested in doing business with the Company, the criteria as to whether to enter into or continue the business relationship and the terms and conditions of the relationship must be no less favorable to the Company compared with those that would apply to an unrelated party seeking to do business with the Company under similar circumstances.</w:t>
      </w:r>
    </w:p>
    <w:p w14:paraId="58555313"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Employees should report any situation involving family members that could reasonably be expected to give rise to a conflict of interest to their supervisor or the Compliance Officer. For purposes of this Code, “family members” or “members of employee’s family” include an employee’s spouse, siblings, parents, in-laws and children.</w:t>
      </w:r>
    </w:p>
    <w:p w14:paraId="5C60D5EB"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6"/>
          <w:szCs w:val="16"/>
        </w:rPr>
      </w:pPr>
      <w:r w:rsidRPr="0016220E">
        <w:rPr>
          <w:rFonts w:ascii="微软雅黑" w:eastAsia="微软雅黑" w:hAnsi="微软雅黑" w:cs="宋体" w:hint="eastAsia"/>
          <w:color w:val="000000"/>
          <w:kern w:val="0"/>
          <w:sz w:val="16"/>
          <w:szCs w:val="16"/>
        </w:rPr>
        <w:t> </w:t>
      </w:r>
    </w:p>
    <w:p w14:paraId="0593F1F9" w14:textId="77777777" w:rsidR="0016220E" w:rsidRPr="0016220E" w:rsidRDefault="0016220E" w:rsidP="0016220E">
      <w:pPr>
        <w:widowControl/>
        <w:shd w:val="clear" w:color="auto" w:fill="FFFFFF"/>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IV. GIFTS AND ENTERTAINMENT</w:t>
      </w:r>
    </w:p>
    <w:p w14:paraId="17B69D00"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 xml:space="preserve">The giving and receiving of appropriate gifts may be considered common business practice. Appropriate business gifts and entertainment are welcome courtesies designed to build </w:t>
      </w:r>
      <w:r w:rsidRPr="0016220E">
        <w:rPr>
          <w:rFonts w:ascii="Times New Roman" w:eastAsia="微软雅黑" w:hAnsi="Times New Roman" w:cs="Times New Roman"/>
          <w:color w:val="000000"/>
          <w:kern w:val="0"/>
          <w:sz w:val="20"/>
          <w:szCs w:val="20"/>
        </w:rPr>
        <w:lastRenderedPageBreak/>
        <w:t>relationships and understanding among business partners. However, gifts and entertainment should never compromise, or appear to compromise, an employee’s ability to make objective and fair business decisions.</w:t>
      </w:r>
    </w:p>
    <w:p w14:paraId="53B1BDAC"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It is the responsibility of employees to use good judgment in this area. As a general rule, employees may give or receive gifts or entertainment to or from customers or suppliers only if the gift or entertainment is in compliance with applicable law, insignificant in amount and not given in consideration or expectation of any action by the recipient. All gifts and entertainment expenses made on behalf of the Company must be properly accounted for on expense reports.</w:t>
      </w:r>
    </w:p>
    <w:p w14:paraId="64C663EC"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We encourage employees to submit gifts received to the Company. While it is not mandatory to submit small gifts, gifts of over USD 100 must be submitted immediately to the administration department of human resource center of the Company.</w:t>
      </w:r>
    </w:p>
    <w:p w14:paraId="29F438EA"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Bribes and kickbacks are criminal acts, strictly prohibited by law. An employee must not offer, give, solicit or receive any form of bribe or kickback anywhere in the world.</w:t>
      </w:r>
    </w:p>
    <w:p w14:paraId="19383D3B"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V. FCPA COMPLIANCE</w:t>
      </w:r>
    </w:p>
    <w:p w14:paraId="1D91BA35"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The U.S. Foreign Corrupt Practices Act (“</w:t>
      </w:r>
      <w:r w:rsidRPr="0016220E">
        <w:rPr>
          <w:rFonts w:ascii="Times New Roman" w:eastAsia="微软雅黑" w:hAnsi="Times New Roman" w:cs="Times New Roman"/>
          <w:b/>
          <w:bCs/>
          <w:color w:val="000000"/>
          <w:kern w:val="0"/>
          <w:sz w:val="20"/>
          <w:szCs w:val="20"/>
        </w:rPr>
        <w:t>FCPA</w:t>
      </w:r>
      <w:r w:rsidRPr="0016220E">
        <w:rPr>
          <w:rFonts w:ascii="Times New Roman" w:eastAsia="微软雅黑" w:hAnsi="Times New Roman" w:cs="Times New Roman"/>
          <w:color w:val="000000"/>
          <w:kern w:val="0"/>
          <w:sz w:val="20"/>
          <w:szCs w:val="20"/>
        </w:rPr>
        <w:t>”) prohibits giving anything of value, directly or indirectly, to officials of foreign governments or foreign political candidates in order to obtain or retain business. A violation of FCPA does not only violate the Company’s policy but also constitute a civil or criminal offense under FCPA which the Company is subject to after the Effective Time. No employee shall give or authorize directly or indirectly any illegal payments to government officials of any country. While the FCPA does, in certain limited circumstances, allow nominal “facilitating payments” to be made, any such payment must be discussed with and approved by an employee’s supervisor in advance before it can be made.</w:t>
      </w:r>
    </w:p>
    <w:p w14:paraId="7AA13873"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VI. PROTECTION AND USE OF COMPANY ASSETS</w:t>
      </w:r>
    </w:p>
    <w:p w14:paraId="15FF92A2"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Employees should protect the Company’s assets and ensure their efficient use for legitimate business purposes only. Theft, carelessness and waste have a direct impact on the Company’s profitability. Any use of the funds or assets of the Company, whether for personal gain or not, for any unlawful or improper purpose is strictly prohibited.</w:t>
      </w:r>
    </w:p>
    <w:p w14:paraId="08A91843"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To ensure the protection and proper use of the Company’s assets, each employee should:</w:t>
      </w:r>
    </w:p>
    <w:p w14:paraId="5A1479C9"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6B0F3D67" w14:textId="77777777" w:rsidTr="0016220E">
        <w:tc>
          <w:tcPr>
            <w:tcW w:w="450" w:type="pct"/>
            <w:vAlign w:val="center"/>
            <w:hideMark/>
          </w:tcPr>
          <w:p w14:paraId="5E90FDBE"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7B63472C"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2AAE6B6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005C2BF6"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Exercise reasonable care to prevent theft, damage or misuse of Company property;</w:t>
            </w:r>
          </w:p>
        </w:tc>
      </w:tr>
    </w:tbl>
    <w:p w14:paraId="42B38BBC"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53E1424B" w14:textId="77777777" w:rsidTr="0016220E">
        <w:tc>
          <w:tcPr>
            <w:tcW w:w="450" w:type="pct"/>
            <w:vAlign w:val="center"/>
            <w:hideMark/>
          </w:tcPr>
          <w:p w14:paraId="7D048223"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31016690"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1DC860E1"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2B3964EB"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Promptly report any actual or suspected theft, damage or misuse of Company property;</w:t>
            </w:r>
          </w:p>
        </w:tc>
      </w:tr>
    </w:tbl>
    <w:p w14:paraId="03B9168F"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6CE6ED51" w14:textId="77777777" w:rsidTr="0016220E">
        <w:tc>
          <w:tcPr>
            <w:tcW w:w="450" w:type="pct"/>
            <w:vAlign w:val="center"/>
            <w:hideMark/>
          </w:tcPr>
          <w:p w14:paraId="6EA32139"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033E672B"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0C089FFC"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41EE4557"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Safeguard all electronic programs, data, communications and written materials from unauthorized access; and</w:t>
            </w:r>
          </w:p>
        </w:tc>
      </w:tr>
    </w:tbl>
    <w:p w14:paraId="722B1B5B"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4D2ED90F" w14:textId="77777777" w:rsidTr="0016220E">
        <w:tc>
          <w:tcPr>
            <w:tcW w:w="450" w:type="pct"/>
            <w:vAlign w:val="center"/>
            <w:hideMark/>
          </w:tcPr>
          <w:p w14:paraId="7AC577A7"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048C3CC7"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1304628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2A45A745"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Use Company property only for legitimate business purposes.</w:t>
            </w:r>
          </w:p>
        </w:tc>
      </w:tr>
    </w:tbl>
    <w:p w14:paraId="1949E9DF"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lastRenderedPageBreak/>
        <w:t>Except as approved in advance by the Chief Executive Officer or Chief Financial Officer of the Company, the Company prohibits political contributions (directly or through trade associations) by any employee on behalf of the Company. Prohibited political contributions include:</w:t>
      </w:r>
    </w:p>
    <w:p w14:paraId="439DC62F"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1C51245D" w14:textId="77777777" w:rsidTr="0016220E">
        <w:tc>
          <w:tcPr>
            <w:tcW w:w="450" w:type="pct"/>
            <w:vAlign w:val="center"/>
            <w:hideMark/>
          </w:tcPr>
          <w:p w14:paraId="16C8DF6E"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33303715"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5BBDFC57"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22867C09"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any contributions of the Company’s funds or other assets for political purposes;</w:t>
            </w:r>
          </w:p>
        </w:tc>
      </w:tr>
    </w:tbl>
    <w:p w14:paraId="6FECB503"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68A4FAD6" w14:textId="77777777" w:rsidTr="0016220E">
        <w:tc>
          <w:tcPr>
            <w:tcW w:w="450" w:type="pct"/>
            <w:vAlign w:val="center"/>
            <w:hideMark/>
          </w:tcPr>
          <w:p w14:paraId="66E91AE4"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17B97EC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4240C1D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4958A454"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encouraging individual employees to make any such contribution; and</w:t>
            </w:r>
          </w:p>
        </w:tc>
      </w:tr>
    </w:tbl>
    <w:p w14:paraId="1C37D928"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2F761198" w14:textId="77777777" w:rsidTr="0016220E">
        <w:tc>
          <w:tcPr>
            <w:tcW w:w="450" w:type="pct"/>
            <w:vAlign w:val="center"/>
            <w:hideMark/>
          </w:tcPr>
          <w:p w14:paraId="25929F36"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04F29FA1"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6AE2A220"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1372A02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reimbursing an employee for any political contribution.</w:t>
            </w:r>
          </w:p>
        </w:tc>
      </w:tr>
    </w:tbl>
    <w:p w14:paraId="5F8DB481"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6"/>
          <w:szCs w:val="16"/>
        </w:rPr>
      </w:pPr>
      <w:r w:rsidRPr="0016220E">
        <w:rPr>
          <w:rFonts w:ascii="微软雅黑" w:eastAsia="微软雅黑" w:hAnsi="微软雅黑" w:cs="宋体" w:hint="eastAsia"/>
          <w:color w:val="000000"/>
          <w:kern w:val="0"/>
          <w:sz w:val="16"/>
          <w:szCs w:val="16"/>
        </w:rPr>
        <w:t> </w:t>
      </w:r>
    </w:p>
    <w:p w14:paraId="22A424C0" w14:textId="77777777" w:rsidR="0016220E" w:rsidRPr="0016220E" w:rsidRDefault="0016220E" w:rsidP="0016220E">
      <w:pPr>
        <w:widowControl/>
        <w:shd w:val="clear" w:color="auto" w:fill="FFFFFF"/>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VII. INTELLECTUAL PROPERTY AND CONFIDENTIALITY</w:t>
      </w:r>
    </w:p>
    <w:p w14:paraId="0E22B11F"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Employees should abide by the Company’s rules and policies in protecting the intellectual property and confidential information, including the following:</w:t>
      </w:r>
    </w:p>
    <w:p w14:paraId="63F19DCB"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02E77CE6" w14:textId="77777777" w:rsidTr="0016220E">
        <w:tc>
          <w:tcPr>
            <w:tcW w:w="450" w:type="pct"/>
            <w:vAlign w:val="center"/>
            <w:hideMark/>
          </w:tcPr>
          <w:p w14:paraId="473F630A"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65C75EDB"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2C8EEACD"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01D27BE4"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All inventions, creative works, computer software, and technical or trade secrets developed by an employee in the course of performing the employee’s duties or primarily through the use of the Company’s assets or resources while working at the Company shall be the property of the Company.</w:t>
            </w:r>
          </w:p>
        </w:tc>
      </w:tr>
    </w:tbl>
    <w:p w14:paraId="05AF3756"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27617271" w14:textId="77777777" w:rsidTr="0016220E">
        <w:tc>
          <w:tcPr>
            <w:tcW w:w="450" w:type="pct"/>
            <w:vAlign w:val="center"/>
            <w:hideMark/>
          </w:tcPr>
          <w:p w14:paraId="2DEA960F"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1B8B9C06"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55ED656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0F5768F0"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Employees should maintain the confidentiality of information entrusted to them by the Company or entities with which the Company has business relations, except when disclosure is authorized or legally mandated. Confidential information includes all non-public information that might be of use to competitors, or harmful to the company or its business associates, if disclosed.</w:t>
            </w:r>
          </w:p>
        </w:tc>
      </w:tr>
    </w:tbl>
    <w:p w14:paraId="607015D1"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4A951A63" w14:textId="77777777" w:rsidTr="0016220E">
        <w:tc>
          <w:tcPr>
            <w:tcW w:w="450" w:type="pct"/>
            <w:vAlign w:val="center"/>
            <w:hideMark/>
          </w:tcPr>
          <w:p w14:paraId="4701D8AE"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2CE25850"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0262CB6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23212BAC"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The Company maintains a strict confidentiality policy. During an employee’s term of employment with the Company, the employee shall comply with any and all written or unwritten rules and policies concerning confidentiality and shall fulfill the duties and responsibilities concerning confidentiality applicable to the employee.</w:t>
            </w:r>
          </w:p>
        </w:tc>
      </w:tr>
    </w:tbl>
    <w:p w14:paraId="55221B95"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0DA4D77C" w14:textId="77777777" w:rsidTr="0016220E">
        <w:tc>
          <w:tcPr>
            <w:tcW w:w="450" w:type="pct"/>
            <w:vAlign w:val="center"/>
            <w:hideMark/>
          </w:tcPr>
          <w:p w14:paraId="1889183F"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5E73D8B0"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1D4CD3CC"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2765F641"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In addition to fulfilling the responsibilities associated with his/her position in the Company, an employee shall not, without obtaining prior approval from the Company, disclose, announce or publish trade secrets or other confidential business information of the Company, nor shall an employee use such confidential information outside the course of his/her duties to the Company.</w:t>
            </w:r>
          </w:p>
        </w:tc>
      </w:tr>
    </w:tbl>
    <w:p w14:paraId="07EB688C"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2D3502CB" w14:textId="77777777" w:rsidTr="0016220E">
        <w:tc>
          <w:tcPr>
            <w:tcW w:w="450" w:type="pct"/>
            <w:vAlign w:val="center"/>
            <w:hideMark/>
          </w:tcPr>
          <w:p w14:paraId="6D1674AF"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118755C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0FF1DAC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4C63D6D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Even outside the work environment, an employee must maintain vigilance and refrain from disclosing important information regarding the Company or its business, business associates or employees.</w:t>
            </w:r>
          </w:p>
        </w:tc>
      </w:tr>
    </w:tbl>
    <w:p w14:paraId="65B8EAAE"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4F464859" w14:textId="77777777" w:rsidTr="0016220E">
        <w:tc>
          <w:tcPr>
            <w:tcW w:w="450" w:type="pct"/>
            <w:vAlign w:val="center"/>
            <w:hideMark/>
          </w:tcPr>
          <w:p w14:paraId="020FF340"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38F39027"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72EE00F5"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2FA7B137"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xml:space="preserve">An employee’s duty of confidentiality with respect to the confidential information of the Company survives the termination of such employee’s employment with the Company for any reason until such time as the Company discloses such information publicly or the </w:t>
            </w:r>
            <w:r w:rsidRPr="0016220E">
              <w:rPr>
                <w:rFonts w:ascii="Times New Roman" w:eastAsia="宋体" w:hAnsi="Times New Roman" w:cs="Times New Roman"/>
                <w:kern w:val="0"/>
                <w:sz w:val="20"/>
                <w:szCs w:val="20"/>
              </w:rPr>
              <w:lastRenderedPageBreak/>
              <w:t>information otherwise becomes available in the public sphere through no fault of the employee.</w:t>
            </w:r>
          </w:p>
        </w:tc>
      </w:tr>
    </w:tbl>
    <w:p w14:paraId="56524F1B"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lastRenderedPageBreak/>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21ED25EF" w14:textId="77777777" w:rsidTr="0016220E">
        <w:tc>
          <w:tcPr>
            <w:tcW w:w="450" w:type="pct"/>
            <w:vAlign w:val="center"/>
            <w:hideMark/>
          </w:tcPr>
          <w:p w14:paraId="2EB1914E"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6D2036A6"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07DD6BE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5482330C"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Upon termination of employment, or at such time as the Company requests, an employee must return to the Company all of its property without exception, including all forms of medium containing confidential information, and may not retain duplicate materials.</w:t>
            </w:r>
          </w:p>
        </w:tc>
      </w:tr>
    </w:tbl>
    <w:p w14:paraId="21D4FBBF"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VIII. ACCURACY OF FINANCIAL REPORTS AND OTHER PUBLIC COMMUNICATIONS</w:t>
      </w:r>
    </w:p>
    <w:p w14:paraId="02CA9187"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Upon the Effective Time, the Company will be required to report its financial results and other material information about its business to the public and the SEC. It is the Company’s policy to promptly disclose accurate and complete information regarding its business, financial condition and results of operations. Employees must strictly comply with all applicable standards, laws, regulations and policies for accounting and financial reporting of transactions, estimates and forecasts. Inaccurate, incomplete or untimely reporting will not be tolerated and can severely damage the Company and result in legal liability.</w:t>
      </w:r>
    </w:p>
    <w:p w14:paraId="303D91EE"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Employees should be on guard for, and promptly report, any possibility of inaccurate or incomplete financial reporting. Particular attention should be paid to:</w:t>
      </w:r>
    </w:p>
    <w:p w14:paraId="45141F8B"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20CE7ABF" w14:textId="77777777" w:rsidTr="0016220E">
        <w:tc>
          <w:tcPr>
            <w:tcW w:w="450" w:type="pct"/>
            <w:vAlign w:val="center"/>
            <w:hideMark/>
          </w:tcPr>
          <w:p w14:paraId="300AFE4D"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30CA8B8B"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6558167B"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7F63555B"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Financial results that seem inconsistent with the performance of the underlying business;</w:t>
            </w:r>
          </w:p>
        </w:tc>
      </w:tr>
    </w:tbl>
    <w:p w14:paraId="2C47C070"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36F80F2C" w14:textId="77777777" w:rsidTr="0016220E">
        <w:tc>
          <w:tcPr>
            <w:tcW w:w="450" w:type="pct"/>
            <w:vAlign w:val="center"/>
            <w:hideMark/>
          </w:tcPr>
          <w:p w14:paraId="57AE545D"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55E75F28"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283A6689"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637C69EA"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Transactions that do not seem to have an obvious business purpose; and</w:t>
            </w:r>
          </w:p>
        </w:tc>
      </w:tr>
    </w:tbl>
    <w:p w14:paraId="656AEAAA"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6AEF230B" w14:textId="77777777" w:rsidTr="0016220E">
        <w:tc>
          <w:tcPr>
            <w:tcW w:w="450" w:type="pct"/>
            <w:vAlign w:val="center"/>
            <w:hideMark/>
          </w:tcPr>
          <w:p w14:paraId="51B97A3C"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53934103"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5331FB89"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3F8BA2BE"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Requests to circumvent ordinary review and approval procedures.</w:t>
            </w:r>
          </w:p>
        </w:tc>
      </w:tr>
    </w:tbl>
    <w:p w14:paraId="73205CE5"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The Company’s senior financial officers and other employees working in the finance department have a special responsibility to ensure that all of the Company’s financial disclosures are full, fair, accurate, timely and understandable. Any practice or situation that might undermine this objective should be reported to the Compliance Officer.</w:t>
      </w:r>
    </w:p>
    <w:p w14:paraId="3B98BFCB"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6"/>
          <w:szCs w:val="16"/>
        </w:rPr>
      </w:pPr>
      <w:r w:rsidRPr="0016220E">
        <w:rPr>
          <w:rFonts w:ascii="微软雅黑" w:eastAsia="微软雅黑" w:hAnsi="微软雅黑" w:cs="宋体" w:hint="eastAsia"/>
          <w:color w:val="000000"/>
          <w:kern w:val="0"/>
          <w:sz w:val="16"/>
          <w:szCs w:val="16"/>
        </w:rPr>
        <w:t> </w:t>
      </w:r>
    </w:p>
    <w:p w14:paraId="022F471B" w14:textId="77777777" w:rsidR="0016220E" w:rsidRPr="0016220E" w:rsidRDefault="0016220E" w:rsidP="0016220E">
      <w:pPr>
        <w:widowControl/>
        <w:shd w:val="clear" w:color="auto" w:fill="FFFFFF"/>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Employees are prohibited from directly or indirectly taking any action to coerce, manipulate, mislead or fraudulently influence the Company’s independent auditors for the purpose of rendering the financial statements of the Company materially misleading. Prohibited actions include but are not limited to:</w:t>
      </w:r>
    </w:p>
    <w:p w14:paraId="6AC78CFB"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6E747DAB" w14:textId="77777777" w:rsidTr="0016220E">
        <w:tc>
          <w:tcPr>
            <w:tcW w:w="450" w:type="pct"/>
            <w:vAlign w:val="center"/>
            <w:hideMark/>
          </w:tcPr>
          <w:p w14:paraId="04785F8B"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18F60056"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3077967F"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76D542E7"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issuing or reissuing a report on the Company’s financial statements that is not warranted in the circumstances (due to material violations of U.S. GAAP, generally accepted auditing standards or other professional or regulatory standards);</w:t>
            </w:r>
          </w:p>
        </w:tc>
      </w:tr>
    </w:tbl>
    <w:p w14:paraId="0605FCBD"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4CBA79EF" w14:textId="77777777" w:rsidTr="0016220E">
        <w:tc>
          <w:tcPr>
            <w:tcW w:w="450" w:type="pct"/>
            <w:vAlign w:val="center"/>
            <w:hideMark/>
          </w:tcPr>
          <w:p w14:paraId="2EBD9CA1"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3B2E8848"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032F0A0D"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3EA14AAC"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not performing audit, review or other procedures required by generally accepted auditing standards or other professional standards;</w:t>
            </w:r>
          </w:p>
        </w:tc>
      </w:tr>
    </w:tbl>
    <w:p w14:paraId="28E4A150"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069A5D55" w14:textId="77777777" w:rsidTr="0016220E">
        <w:tc>
          <w:tcPr>
            <w:tcW w:w="450" w:type="pct"/>
            <w:vAlign w:val="center"/>
            <w:hideMark/>
          </w:tcPr>
          <w:p w14:paraId="660D4B95"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271984F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190E0E6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4B4A909B"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not withdrawing an issued report when withdrawal is warranted under the circumstances; or</w:t>
            </w:r>
          </w:p>
        </w:tc>
      </w:tr>
    </w:tbl>
    <w:p w14:paraId="6AFB433E"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2"/>
          <w:szCs w:val="12"/>
        </w:rPr>
      </w:pPr>
      <w:r w:rsidRPr="0016220E">
        <w:rPr>
          <w:rFonts w:ascii="微软雅黑" w:eastAsia="微软雅黑" w:hAnsi="微软雅黑" w:cs="宋体" w:hint="eastAsia"/>
          <w:color w:val="000000"/>
          <w:kern w:val="0"/>
          <w:sz w:val="12"/>
          <w:szCs w:val="12"/>
        </w:rPr>
        <w:lastRenderedPageBreak/>
        <w:t> </w:t>
      </w:r>
    </w:p>
    <w:tbl>
      <w:tblPr>
        <w:tblW w:w="5000" w:type="pct"/>
        <w:tblCellMar>
          <w:left w:w="0" w:type="dxa"/>
          <w:right w:w="0" w:type="dxa"/>
        </w:tblCellMar>
        <w:tblLook w:val="04A0" w:firstRow="1" w:lastRow="0" w:firstColumn="1" w:lastColumn="0" w:noHBand="0" w:noVBand="1"/>
      </w:tblPr>
      <w:tblGrid>
        <w:gridCol w:w="748"/>
        <w:gridCol w:w="249"/>
        <w:gridCol w:w="83"/>
        <w:gridCol w:w="7226"/>
      </w:tblGrid>
      <w:tr w:rsidR="0016220E" w:rsidRPr="0016220E" w14:paraId="583C0261" w14:textId="77777777" w:rsidTr="0016220E">
        <w:tc>
          <w:tcPr>
            <w:tcW w:w="450" w:type="pct"/>
            <w:vAlign w:val="center"/>
            <w:hideMark/>
          </w:tcPr>
          <w:p w14:paraId="444F98A9" w14:textId="77777777" w:rsidR="0016220E" w:rsidRPr="0016220E" w:rsidRDefault="0016220E" w:rsidP="0016220E">
            <w:pPr>
              <w:widowControl/>
              <w:jc w:val="left"/>
              <w:rPr>
                <w:rFonts w:ascii="Times New Roman" w:eastAsia="宋体" w:hAnsi="Times New Roman" w:cs="Times New Roman" w:hint="eastAsia"/>
                <w:kern w:val="0"/>
                <w:sz w:val="20"/>
                <w:szCs w:val="20"/>
              </w:rPr>
            </w:pPr>
            <w:r w:rsidRPr="0016220E">
              <w:rPr>
                <w:rFonts w:ascii="Times New Roman" w:eastAsia="宋体" w:hAnsi="Times New Roman" w:cs="Times New Roman"/>
                <w:kern w:val="0"/>
                <w:sz w:val="20"/>
                <w:szCs w:val="20"/>
              </w:rPr>
              <w:t> </w:t>
            </w:r>
          </w:p>
        </w:tc>
        <w:tc>
          <w:tcPr>
            <w:tcW w:w="150" w:type="pct"/>
            <w:hideMark/>
          </w:tcPr>
          <w:p w14:paraId="3CA05E0A"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w:t>
            </w:r>
          </w:p>
        </w:tc>
        <w:tc>
          <w:tcPr>
            <w:tcW w:w="50" w:type="pct"/>
            <w:hideMark/>
          </w:tcPr>
          <w:p w14:paraId="6F448CE2"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 </w:t>
            </w:r>
          </w:p>
        </w:tc>
        <w:tc>
          <w:tcPr>
            <w:tcW w:w="0" w:type="auto"/>
            <w:hideMark/>
          </w:tcPr>
          <w:p w14:paraId="33DD9F7B" w14:textId="77777777" w:rsidR="0016220E" w:rsidRPr="0016220E" w:rsidRDefault="0016220E" w:rsidP="0016220E">
            <w:pPr>
              <w:widowControl/>
              <w:jc w:val="left"/>
              <w:rPr>
                <w:rFonts w:ascii="Times New Roman" w:eastAsia="宋体" w:hAnsi="Times New Roman" w:cs="Times New Roman"/>
                <w:kern w:val="0"/>
                <w:sz w:val="20"/>
                <w:szCs w:val="20"/>
              </w:rPr>
            </w:pPr>
            <w:r w:rsidRPr="0016220E">
              <w:rPr>
                <w:rFonts w:ascii="Times New Roman" w:eastAsia="宋体" w:hAnsi="Times New Roman" w:cs="Times New Roman"/>
                <w:kern w:val="0"/>
                <w:sz w:val="20"/>
                <w:szCs w:val="20"/>
              </w:rPr>
              <w:t>not communicating matters required to be communicated to the Company’s Audit Committee.</w:t>
            </w:r>
          </w:p>
        </w:tc>
      </w:tr>
    </w:tbl>
    <w:p w14:paraId="11343522"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IX. COMPANY RECORDS</w:t>
      </w:r>
    </w:p>
    <w:p w14:paraId="1AE7106D"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Accurate and reliable records are crucial to the Company’s business and form the basis of its earnings statements, financial reports and other disclosures to the public. The Company’s records are a source of essential data that guides business decision-making and strategic planning. Company records include, but are not limited to, booking information, payroll, timecards, travel and expense reports, e-mails, accounting and financial data, measurement and performance records, electronic data files and all other records maintained in the ordinary course of business.</w:t>
      </w:r>
    </w:p>
    <w:p w14:paraId="2D6DEC7B"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All Company records must be complete, accurate and reliable in all material respects. There is never an acceptable reason to make false or misleading entries. Undisclosed or unrecorded funds, payments or receipts are strictly prohibited. An employee is responsible for understanding and complying with the Company’s recordkeeping policy. An employee should contact the Compliance Officer if he/she has any questions regarding the recordkeeping policy.</w:t>
      </w:r>
    </w:p>
    <w:p w14:paraId="6D15FE14"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X. COMPLIANCE WITH LAWS AND REGULATIONS</w:t>
      </w:r>
    </w:p>
    <w:p w14:paraId="7FC12578"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Each employee has an obligation to comply with the laws of the cities, provinces, regions and countries in which the Company operates. This includes, without limitation, laws covering commercial bribery and kickbacks, patent, copyrights, trademarks and trade secrets, information privacy, insider trading, offering or receiving gratuities, employment harassment, environmental protection, occupational health and safety, false or misleading financial information, misuse of corporate assets and foreign currency exchange activities. Employees are expected to understand and comply with all laws, rules and regulations that apply to their positions at the Company. If any doubt exists about whether a course of action is lawful, the employee should seek advice immediately from the Compliance Officer.</w:t>
      </w:r>
    </w:p>
    <w:p w14:paraId="2FC7757D"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XI. DISCRIMINATION AND HARASSMENT</w:t>
      </w:r>
    </w:p>
    <w:p w14:paraId="11F310DC"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The Company is firmly committed to providing equal opportunity in all aspects of employment and will not tolerate any illegal discrimination or harassment based on race, ethnicity, religion, gender, age, national origin or any other protected class. For further information, employees should consult the Compliance Officer.</w:t>
      </w:r>
    </w:p>
    <w:p w14:paraId="34DA703C"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XII. FAIR DEALING</w:t>
      </w:r>
    </w:p>
    <w:p w14:paraId="3B107CFF"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Each employee should endeavor to deal fairly with the Company’s customers, suppliers, competitors and employees. None should take unfair advantage of anyone through manipulation, concealment, abuse of privileged information, misrepresentation of material facts, or any other unfair-dealing practice.</w:t>
      </w:r>
    </w:p>
    <w:p w14:paraId="02981C41"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6"/>
          <w:szCs w:val="16"/>
        </w:rPr>
      </w:pPr>
      <w:r w:rsidRPr="0016220E">
        <w:rPr>
          <w:rFonts w:ascii="微软雅黑" w:eastAsia="微软雅黑" w:hAnsi="微软雅黑" w:cs="宋体" w:hint="eastAsia"/>
          <w:color w:val="000000"/>
          <w:kern w:val="0"/>
          <w:sz w:val="16"/>
          <w:szCs w:val="16"/>
        </w:rPr>
        <w:t> </w:t>
      </w:r>
    </w:p>
    <w:p w14:paraId="600E4060" w14:textId="77777777" w:rsidR="0016220E" w:rsidRPr="0016220E" w:rsidRDefault="0016220E" w:rsidP="0016220E">
      <w:pPr>
        <w:widowControl/>
        <w:shd w:val="clear" w:color="auto" w:fill="FFFFFF"/>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XIII. HEALTH AND SAFETY</w:t>
      </w:r>
    </w:p>
    <w:p w14:paraId="1DC8967E"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lastRenderedPageBreak/>
        <w:t>The Company strives to provide employees with a safe and healthy work environment. Each employee has responsibility for maintaining a safe and healthy workplace for other employees by following environmental, safety and health rules and practices and reporting accidents, injuries and unsafe equipment, practices or conditions. Violence or threats of violence are not permitted.</w:t>
      </w:r>
    </w:p>
    <w:p w14:paraId="334234AB"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Each employee is expected to perform his/her duty to the Company in a safe manner, not under the influence of alcohol, illegal drugs or other controlled substances. The use of illegal drugs or other controlled substances in the workplace is prohibited.</w:t>
      </w:r>
    </w:p>
    <w:p w14:paraId="0DEB563F"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XIV. VIOLATIONS OF THE CODE</w:t>
      </w:r>
    </w:p>
    <w:p w14:paraId="1858655D"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All employees have a duty to report any known or suspected violation of this Code, including any violation of laws, rules, regulations or policies that apply to the Company. Reporting a known or suspected violation of this Code by others will not be considered an act of disloyalty, but an action to safeguard the reputation and integrity of the Company and its employees.</w:t>
      </w:r>
    </w:p>
    <w:p w14:paraId="12355649"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If an employee knows of or suspects a violation of this Code, it is such employee’s responsibility to immediately report the violation to the Compliance Officer, who will work with the employee to investigate his/her concern. All questions and reports of known or suspected violations of this Code will be treated with sensitivity and discretion. The Compliance Officer and the Company will protect the employee’s confidentiality to the extent possible, consistent with the law and the Company’s need to investigate the employee’s concern.</w:t>
      </w:r>
    </w:p>
    <w:p w14:paraId="233BFC86"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It is the Company’s policy that any employee who violates this Code will be subject to appropriate discipline, including termination of employment, based upon the facts and circumstances of each particular situation. An employee’s conduct, if it does not comply with the law or with this Code, can result in serious consequences for both the employee and the Company.</w:t>
      </w:r>
    </w:p>
    <w:p w14:paraId="4F535787" w14:textId="77777777" w:rsidR="0016220E" w:rsidRPr="0016220E" w:rsidRDefault="0016220E" w:rsidP="0016220E">
      <w:pPr>
        <w:widowControl/>
        <w:shd w:val="clear" w:color="auto" w:fill="FFFFFF"/>
        <w:spacing w:before="24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The Company strictly prohibits retaliation against an employee who, in good faith, seeks help or reports known or suspected violations. An employee inflicting reprisal or retaliation against another employee for reporting a known or suspected violation will be subject to disciplinary action, including termination of employment.</w:t>
      </w:r>
    </w:p>
    <w:p w14:paraId="4B51AE62"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XV. WAIVERS OF THE CODE</w:t>
      </w:r>
    </w:p>
    <w:p w14:paraId="179BC55D"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 xml:space="preserve">Waivers of this Code will be granted on a case-by-case basis and only in extraordinary circumstances. Waivers of this Code may be made only by the Board, or the appropriate committee of the Board, and may be promptly disclosed to the public if </w:t>
      </w:r>
      <w:proofErr w:type="gramStart"/>
      <w:r w:rsidRPr="0016220E">
        <w:rPr>
          <w:rFonts w:ascii="Times New Roman" w:eastAsia="微软雅黑" w:hAnsi="Times New Roman" w:cs="Times New Roman"/>
          <w:color w:val="000000"/>
          <w:kern w:val="0"/>
          <w:sz w:val="20"/>
          <w:szCs w:val="20"/>
        </w:rPr>
        <w:t>so</w:t>
      </w:r>
      <w:proofErr w:type="gramEnd"/>
      <w:r w:rsidRPr="0016220E">
        <w:rPr>
          <w:rFonts w:ascii="Times New Roman" w:eastAsia="微软雅黑" w:hAnsi="Times New Roman" w:cs="Times New Roman"/>
          <w:color w:val="000000"/>
          <w:kern w:val="0"/>
          <w:sz w:val="20"/>
          <w:szCs w:val="20"/>
        </w:rPr>
        <w:t xml:space="preserve"> required by applicable laws and regulations and rules of the NASDAQ. Notwithstanding the foregoing, any waiver of this Code for a senior officer or a director may only be granted by the Board and must be publicly disclosed in accordance with the applicable rules of the NASDAQ.</w:t>
      </w:r>
    </w:p>
    <w:p w14:paraId="4DEF3981" w14:textId="77777777" w:rsidR="0016220E" w:rsidRPr="0016220E" w:rsidRDefault="0016220E" w:rsidP="0016220E">
      <w:pPr>
        <w:widowControl/>
        <w:shd w:val="clear" w:color="auto" w:fill="FFFFFF"/>
        <w:spacing w:before="360"/>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XVI. CONCLUSION</w:t>
      </w:r>
    </w:p>
    <w:p w14:paraId="6D7DF6F5" w14:textId="77777777" w:rsidR="0016220E" w:rsidRPr="0016220E" w:rsidRDefault="0016220E" w:rsidP="0016220E">
      <w:pPr>
        <w:widowControl/>
        <w:shd w:val="clear" w:color="auto" w:fill="FFFFFF"/>
        <w:spacing w:before="120"/>
        <w:ind w:firstLine="1102"/>
        <w:jc w:val="left"/>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 xml:space="preserve">This Code contains general guidelines for conducting the business of the Company consistent with the highest standards of business ethics. If employees have any questions about these guidelines, they should contact the Compliance Officer. We expect all employees to adhere to these </w:t>
      </w:r>
      <w:r w:rsidRPr="0016220E">
        <w:rPr>
          <w:rFonts w:ascii="Times New Roman" w:eastAsia="微软雅黑" w:hAnsi="Times New Roman" w:cs="Times New Roman"/>
          <w:color w:val="000000"/>
          <w:kern w:val="0"/>
          <w:sz w:val="20"/>
          <w:szCs w:val="20"/>
        </w:rPr>
        <w:lastRenderedPageBreak/>
        <w:t>standards. Each employee is separately responsible for his/her actions. Conduct that violates the law or this Code cannot be justified by claiming that it was ordered by a supervisor or someone in higher management positions. If an employee engages in conduct prohibited by the law or this Code, such employee will be deemed to have acted outside the scope of his/her employment. Such conduct will subject the employee to disciplinary action, including termination of employment.</w:t>
      </w:r>
    </w:p>
    <w:p w14:paraId="147800D4" w14:textId="77777777" w:rsidR="0016220E" w:rsidRPr="0016220E" w:rsidRDefault="0016220E" w:rsidP="0016220E">
      <w:pPr>
        <w:widowControl/>
        <w:shd w:val="clear" w:color="auto" w:fill="FFFFFF"/>
        <w:spacing w:before="240"/>
        <w:jc w:val="center"/>
        <w:rPr>
          <w:rFonts w:ascii="Times New Roman" w:eastAsia="微软雅黑" w:hAnsi="Times New Roman" w:cs="Times New Roman"/>
          <w:color w:val="000000"/>
          <w:kern w:val="0"/>
          <w:sz w:val="20"/>
          <w:szCs w:val="20"/>
        </w:rPr>
      </w:pPr>
      <w:r w:rsidRPr="0016220E">
        <w:rPr>
          <w:rFonts w:ascii="Times New Roman" w:eastAsia="微软雅黑" w:hAnsi="Times New Roman" w:cs="Times New Roman"/>
          <w:color w:val="000000"/>
          <w:kern w:val="0"/>
          <w:sz w:val="20"/>
          <w:szCs w:val="20"/>
        </w:rPr>
        <w:t>* * * * * * * * * * * * *</w:t>
      </w:r>
    </w:p>
    <w:p w14:paraId="5AC4872D" w14:textId="77777777" w:rsidR="0016220E" w:rsidRPr="0016220E" w:rsidRDefault="0016220E" w:rsidP="0016220E">
      <w:pPr>
        <w:widowControl/>
        <w:shd w:val="clear" w:color="auto" w:fill="FFFFFF"/>
        <w:jc w:val="left"/>
        <w:rPr>
          <w:rFonts w:ascii="微软雅黑" w:eastAsia="微软雅黑" w:hAnsi="微软雅黑" w:cs="宋体"/>
          <w:color w:val="000000"/>
          <w:kern w:val="0"/>
          <w:sz w:val="16"/>
          <w:szCs w:val="16"/>
        </w:rPr>
      </w:pPr>
      <w:r w:rsidRPr="0016220E">
        <w:rPr>
          <w:rFonts w:ascii="微软雅黑" w:eastAsia="微软雅黑" w:hAnsi="微软雅黑" w:cs="宋体" w:hint="eastAsia"/>
          <w:color w:val="000000"/>
          <w:kern w:val="0"/>
          <w:sz w:val="16"/>
          <w:szCs w:val="16"/>
        </w:rPr>
        <w:t> </w:t>
      </w:r>
    </w:p>
    <w:p w14:paraId="35C3530C" w14:textId="77777777" w:rsidR="003224D7" w:rsidRDefault="003224D7"/>
    <w:sectPr w:rsidR="00322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0E"/>
    <w:rsid w:val="0016220E"/>
    <w:rsid w:val="0032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B102"/>
  <w15:chartTrackingRefBased/>
  <w15:docId w15:val="{700EFDD2-02B2-412D-814D-E35D818D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2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3690</Words>
  <Characters>21033</Characters>
  <Application>Microsoft Office Word</Application>
  <DocSecurity>0</DocSecurity>
  <Lines>175</Lines>
  <Paragraphs>49</Paragraphs>
  <ScaleCrop>false</ScaleCrop>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Janice</dc:creator>
  <cp:keywords/>
  <dc:description/>
  <cp:lastModifiedBy>Wang Janice</cp:lastModifiedBy>
  <cp:revision>1</cp:revision>
  <dcterms:created xsi:type="dcterms:W3CDTF">2021-08-31T03:35:00Z</dcterms:created>
  <dcterms:modified xsi:type="dcterms:W3CDTF">2021-08-31T03:40:00Z</dcterms:modified>
</cp:coreProperties>
</file>